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AA1" w:rsidRPr="00AB3AE1" w:rsidRDefault="000F4AA1">
      <w:pPr>
        <w:framePr w:hSpace="142" w:wrap="around" w:vAnchor="text" w:hAnchor="page" w:x="857" w:y="-66"/>
        <w:rPr>
          <w:rFonts w:ascii="Arial Narrow" w:hAnsi="Arial Narrow"/>
        </w:rPr>
      </w:pPr>
    </w:p>
    <w:tbl>
      <w:tblPr>
        <w:tblStyle w:val="Tabukasmriekou2zvraznenie5"/>
        <w:tblW w:w="0" w:type="auto"/>
        <w:jc w:val="right"/>
        <w:tblLook w:val="04A0" w:firstRow="1" w:lastRow="0" w:firstColumn="1" w:lastColumn="0" w:noHBand="0" w:noVBand="1"/>
      </w:tblPr>
      <w:tblGrid>
        <w:gridCol w:w="3254"/>
      </w:tblGrid>
      <w:tr w:rsidR="00980974" w:rsidRPr="00AB3AE1" w:rsidTr="00CC0750">
        <w:trPr>
          <w:cnfStyle w:val="100000000000" w:firstRow="1" w:lastRow="0" w:firstColumn="0" w:lastColumn="0" w:oddVBand="0" w:evenVBand="0" w:oddHBand="0" w:evenHBand="0" w:firstRowFirstColumn="0" w:firstRowLastColumn="0" w:lastRowFirstColumn="0" w:lastRowLastColumn="0"/>
          <w:trHeight w:val="644"/>
          <w:jc w:val="right"/>
        </w:trPr>
        <w:tc>
          <w:tcPr>
            <w:cnfStyle w:val="001000000000" w:firstRow="0" w:lastRow="0" w:firstColumn="1" w:lastColumn="0" w:oddVBand="0" w:evenVBand="0" w:oddHBand="0" w:evenHBand="0" w:firstRowFirstColumn="0" w:firstRowLastColumn="0" w:lastRowFirstColumn="0" w:lastRowLastColumn="0"/>
            <w:tcW w:w="3254" w:type="dxa"/>
          </w:tcPr>
          <w:p w:rsidR="00980974" w:rsidRPr="00AB3AE1" w:rsidRDefault="00FF346D" w:rsidP="00F11227">
            <w:pPr>
              <w:rPr>
                <w:rFonts w:ascii="Calibri" w:hAnsi="Calibri"/>
                <w:sz w:val="28"/>
                <w:szCs w:val="28"/>
              </w:rPr>
            </w:pPr>
            <w:r>
              <w:rPr>
                <w:rFonts w:ascii="Calibri" w:hAnsi="Calibri"/>
                <w:sz w:val="28"/>
                <w:szCs w:val="28"/>
              </w:rPr>
              <w:t>SPRÁVA</w:t>
            </w:r>
            <w:r w:rsidR="00980974" w:rsidRPr="00AB3AE1">
              <w:rPr>
                <w:rFonts w:ascii="Calibri" w:hAnsi="Calibri"/>
                <w:sz w:val="28"/>
                <w:szCs w:val="28"/>
              </w:rPr>
              <w:t xml:space="preserve">   č. </w:t>
            </w:r>
            <w:r w:rsidR="00BB4EFE" w:rsidRPr="00AB3AE1">
              <w:rPr>
                <w:rFonts w:ascii="Calibri" w:hAnsi="Calibri"/>
                <w:sz w:val="28"/>
                <w:szCs w:val="28"/>
              </w:rPr>
              <w:t>0</w:t>
            </w:r>
            <w:r w:rsidR="000B67EB">
              <w:rPr>
                <w:rFonts w:ascii="Calibri" w:hAnsi="Calibri"/>
                <w:sz w:val="28"/>
                <w:szCs w:val="28"/>
              </w:rPr>
              <w:t>4</w:t>
            </w:r>
            <w:r w:rsidR="0065064F">
              <w:rPr>
                <w:rFonts w:ascii="Calibri" w:hAnsi="Calibri"/>
                <w:sz w:val="28"/>
                <w:szCs w:val="28"/>
              </w:rPr>
              <w:t>4</w:t>
            </w:r>
            <w:r w:rsidR="00980974" w:rsidRPr="00AB3AE1">
              <w:rPr>
                <w:rFonts w:ascii="Calibri" w:hAnsi="Calibri"/>
                <w:sz w:val="28"/>
                <w:szCs w:val="28"/>
              </w:rPr>
              <w:t>/201</w:t>
            </w:r>
            <w:r w:rsidR="00AB3AE1" w:rsidRPr="00AB3AE1">
              <w:rPr>
                <w:rFonts w:ascii="Calibri" w:hAnsi="Calibri"/>
                <w:sz w:val="28"/>
                <w:szCs w:val="28"/>
              </w:rPr>
              <w:t>8</w:t>
            </w:r>
          </w:p>
          <w:p w:rsidR="00980974" w:rsidRPr="00AB3AE1" w:rsidRDefault="00FF346D" w:rsidP="00980974">
            <w:pPr>
              <w:rPr>
                <w:rFonts w:ascii="Calibri" w:hAnsi="Calibri"/>
              </w:rPr>
            </w:pPr>
            <w:r>
              <w:rPr>
                <w:rFonts w:ascii="Calibri" w:hAnsi="Calibri"/>
              </w:rPr>
              <w:t>zo zahraničnej</w:t>
            </w:r>
            <w:r w:rsidR="00980974" w:rsidRPr="00AB3AE1">
              <w:rPr>
                <w:rFonts w:ascii="Calibri" w:hAnsi="Calibri"/>
              </w:rPr>
              <w:t xml:space="preserve"> </w:t>
            </w:r>
            <w:r>
              <w:rPr>
                <w:rFonts w:ascii="Calibri" w:hAnsi="Calibri"/>
              </w:rPr>
              <w:t>pracovnej cesty</w:t>
            </w:r>
            <w:r w:rsidR="00F11227" w:rsidRPr="00AB3AE1">
              <w:rPr>
                <w:rFonts w:ascii="Calibri" w:hAnsi="Calibri"/>
              </w:rPr>
              <w:t xml:space="preserve"> </w:t>
            </w:r>
          </w:p>
        </w:tc>
      </w:tr>
    </w:tbl>
    <w:p w:rsidR="00980974" w:rsidRPr="00AB3AE1" w:rsidRDefault="00980974" w:rsidP="00980974">
      <w:pPr>
        <w:ind w:left="567"/>
        <w:rPr>
          <w:rFonts w:ascii="Calibri" w:hAnsi="Calibri"/>
        </w:rPr>
      </w:pPr>
    </w:p>
    <w:tbl>
      <w:tblPr>
        <w:tblStyle w:val="Tabukasmriekou3zvraznenie5"/>
        <w:tblW w:w="0" w:type="auto"/>
        <w:tblInd w:w="10" w:type="dxa"/>
        <w:tblLook w:val="04A0" w:firstRow="1" w:lastRow="0" w:firstColumn="1" w:lastColumn="0" w:noHBand="0" w:noVBand="1"/>
      </w:tblPr>
      <w:tblGrid>
        <w:gridCol w:w="1413"/>
        <w:gridCol w:w="5245"/>
      </w:tblGrid>
      <w:tr w:rsidR="00980974" w:rsidRPr="00AB3AE1" w:rsidTr="00FF34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tcPr>
          <w:p w:rsidR="00980974" w:rsidRPr="00AB3AE1" w:rsidRDefault="00980974" w:rsidP="00980974">
            <w:pPr>
              <w:rPr>
                <w:rFonts w:ascii="Calibri" w:hAnsi="Calibri"/>
                <w:sz w:val="24"/>
              </w:rPr>
            </w:pPr>
            <w:r w:rsidRPr="00AB3AE1">
              <w:rPr>
                <w:rFonts w:ascii="Calibri" w:hAnsi="Calibri"/>
                <w:sz w:val="24"/>
              </w:rPr>
              <w:t>Názov akcie</w:t>
            </w:r>
          </w:p>
        </w:tc>
        <w:tc>
          <w:tcPr>
            <w:tcW w:w="5245" w:type="dxa"/>
          </w:tcPr>
          <w:p w:rsidR="00980974" w:rsidRPr="00AB3AE1" w:rsidRDefault="0065064F" w:rsidP="0065064F">
            <w:pP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 xml:space="preserve">EOK: </w:t>
            </w:r>
            <w:r w:rsidRPr="0065064F">
              <w:rPr>
                <w:rFonts w:ascii="Calibri" w:hAnsi="Calibri"/>
                <w:sz w:val="24"/>
              </w:rPr>
              <w:t>Európsk</w:t>
            </w:r>
            <w:r>
              <w:rPr>
                <w:rFonts w:ascii="Calibri" w:hAnsi="Calibri"/>
                <w:sz w:val="24"/>
              </w:rPr>
              <w:t>a</w:t>
            </w:r>
            <w:r w:rsidRPr="0065064F">
              <w:rPr>
                <w:rFonts w:ascii="Calibri" w:hAnsi="Calibri"/>
                <w:sz w:val="24"/>
              </w:rPr>
              <w:t xml:space="preserve"> akadémi</w:t>
            </w:r>
            <w:r>
              <w:rPr>
                <w:rFonts w:ascii="Calibri" w:hAnsi="Calibri"/>
                <w:sz w:val="24"/>
              </w:rPr>
              <w:t>a</w:t>
            </w:r>
            <w:r w:rsidRPr="0065064F">
              <w:rPr>
                <w:rFonts w:ascii="Calibri" w:hAnsi="Calibri"/>
                <w:sz w:val="24"/>
              </w:rPr>
              <w:t xml:space="preserve"> sociálneho dialógu</w:t>
            </w:r>
            <w:r w:rsidR="00546134">
              <w:rPr>
                <w:rFonts w:ascii="Calibri" w:hAnsi="Calibri"/>
                <w:sz w:val="24"/>
              </w:rPr>
              <w:t xml:space="preserve"> II</w:t>
            </w:r>
          </w:p>
        </w:tc>
      </w:tr>
      <w:tr w:rsidR="00980974" w:rsidRPr="00AB3AE1" w:rsidTr="00FF3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980974" w:rsidRPr="00AB3AE1" w:rsidRDefault="00980974" w:rsidP="00980974">
            <w:pPr>
              <w:rPr>
                <w:rFonts w:ascii="Calibri" w:hAnsi="Calibri"/>
              </w:rPr>
            </w:pPr>
            <w:r w:rsidRPr="00AB3AE1">
              <w:rPr>
                <w:rFonts w:ascii="Calibri" w:hAnsi="Calibri"/>
              </w:rPr>
              <w:t>Termín akcie</w:t>
            </w:r>
          </w:p>
        </w:tc>
        <w:tc>
          <w:tcPr>
            <w:tcW w:w="5245" w:type="dxa"/>
          </w:tcPr>
          <w:p w:rsidR="00980974" w:rsidRPr="00AB3AE1" w:rsidRDefault="00546134" w:rsidP="00AB3AE1">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28.11.2018 – 31.11.2018</w:t>
            </w:r>
          </w:p>
        </w:tc>
      </w:tr>
      <w:tr w:rsidR="00980974" w:rsidRPr="00AB3AE1" w:rsidTr="00FF346D">
        <w:tc>
          <w:tcPr>
            <w:cnfStyle w:val="001000000000" w:firstRow="0" w:lastRow="0" w:firstColumn="1" w:lastColumn="0" w:oddVBand="0" w:evenVBand="0" w:oddHBand="0" w:evenHBand="0" w:firstRowFirstColumn="0" w:firstRowLastColumn="0" w:lastRowFirstColumn="0" w:lastRowLastColumn="0"/>
            <w:tcW w:w="1413" w:type="dxa"/>
          </w:tcPr>
          <w:p w:rsidR="00980974" w:rsidRPr="00AB3AE1" w:rsidRDefault="00980974" w:rsidP="00980974">
            <w:pPr>
              <w:rPr>
                <w:rFonts w:ascii="Calibri" w:hAnsi="Calibri"/>
              </w:rPr>
            </w:pPr>
            <w:r w:rsidRPr="00AB3AE1">
              <w:rPr>
                <w:rFonts w:ascii="Calibri" w:hAnsi="Calibri"/>
              </w:rPr>
              <w:t>Miesto akcie</w:t>
            </w:r>
          </w:p>
        </w:tc>
        <w:tc>
          <w:tcPr>
            <w:tcW w:w="5245" w:type="dxa"/>
          </w:tcPr>
          <w:p w:rsidR="00980974" w:rsidRPr="00AB3AE1" w:rsidRDefault="0065064F" w:rsidP="000B67EB">
            <w:pPr>
              <w:cnfStyle w:val="000000000000" w:firstRow="0" w:lastRow="0" w:firstColumn="0" w:lastColumn="0" w:oddVBand="0" w:evenVBand="0" w:oddHBand="0" w:evenHBand="0" w:firstRowFirstColumn="0" w:firstRowLastColumn="0" w:lastRowFirstColumn="0" w:lastRowLastColumn="0"/>
              <w:rPr>
                <w:rFonts w:ascii="Calibri" w:hAnsi="Calibri"/>
              </w:rPr>
            </w:pPr>
            <w:r w:rsidRPr="004F4BDC">
              <w:rPr>
                <w:rFonts w:ascii="Calibri" w:hAnsi="Calibri"/>
              </w:rPr>
              <w:t xml:space="preserve">Brusel, Belgicko </w:t>
            </w:r>
          </w:p>
        </w:tc>
      </w:tr>
      <w:tr w:rsidR="00980974" w:rsidRPr="00AB3AE1" w:rsidTr="00FF346D">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413" w:type="dxa"/>
          </w:tcPr>
          <w:p w:rsidR="00980974" w:rsidRPr="00AB3AE1" w:rsidRDefault="00F11227" w:rsidP="00980974">
            <w:pPr>
              <w:rPr>
                <w:rFonts w:ascii="Calibri" w:hAnsi="Calibri"/>
              </w:rPr>
            </w:pPr>
            <w:r w:rsidRPr="00AB3AE1">
              <w:rPr>
                <w:rFonts w:ascii="Calibri" w:hAnsi="Calibri"/>
              </w:rPr>
              <w:t>Účastníci</w:t>
            </w:r>
          </w:p>
        </w:tc>
        <w:tc>
          <w:tcPr>
            <w:tcW w:w="5245" w:type="dxa"/>
          </w:tcPr>
          <w:p w:rsidR="00980974" w:rsidRDefault="0065064F" w:rsidP="001806F1">
            <w:pPr>
              <w:cnfStyle w:val="000000100000" w:firstRow="0" w:lastRow="0" w:firstColumn="0" w:lastColumn="0" w:oddVBand="0" w:evenVBand="0" w:oddHBand="1" w:evenHBand="0" w:firstRowFirstColumn="0" w:firstRowLastColumn="0" w:lastRowFirstColumn="0" w:lastRowLastColumn="0"/>
              <w:rPr>
                <w:rFonts w:ascii="Calibri" w:hAnsi="Calibri"/>
              </w:rPr>
            </w:pPr>
            <w:r w:rsidRPr="0065064F">
              <w:rPr>
                <w:rFonts w:ascii="Calibri" w:hAnsi="Calibri"/>
              </w:rPr>
              <w:t xml:space="preserve">Zorka </w:t>
            </w:r>
            <w:proofErr w:type="spellStart"/>
            <w:r w:rsidRPr="0065064F">
              <w:rPr>
                <w:rFonts w:ascii="Calibri" w:hAnsi="Calibri"/>
              </w:rPr>
              <w:t>Velčická</w:t>
            </w:r>
            <w:proofErr w:type="spellEnd"/>
            <w:r>
              <w:rPr>
                <w:rFonts w:ascii="Calibri" w:hAnsi="Calibri"/>
              </w:rPr>
              <w:t xml:space="preserve"> </w:t>
            </w:r>
            <w:r w:rsidRPr="0065064F">
              <w:rPr>
                <w:rFonts w:ascii="Calibri" w:hAnsi="Calibri"/>
              </w:rPr>
              <w:t>(OZ potravinárov SR</w:t>
            </w:r>
            <w:r>
              <w:rPr>
                <w:rFonts w:ascii="Calibri" w:hAnsi="Calibri"/>
              </w:rPr>
              <w:t>)</w:t>
            </w:r>
          </w:p>
          <w:p w:rsidR="004F4BDC" w:rsidRPr="004F4BDC" w:rsidRDefault="004F4BDC" w:rsidP="001806F1">
            <w:pPr>
              <w:cnfStyle w:val="000000100000" w:firstRow="0" w:lastRow="0" w:firstColumn="0" w:lastColumn="0" w:oddVBand="0" w:evenVBand="0" w:oddHBand="1" w:evenHBand="0" w:firstRowFirstColumn="0" w:firstRowLastColumn="0" w:lastRowFirstColumn="0" w:lastRowLastColumn="0"/>
            </w:pPr>
            <w:r w:rsidRPr="004F4BDC">
              <w:rPr>
                <w:rFonts w:ascii="Calibri" w:hAnsi="Calibri"/>
              </w:rPr>
              <w:t>Barbora</w:t>
            </w:r>
            <w:r>
              <w:rPr>
                <w:rFonts w:ascii="Calibri" w:hAnsi="Calibri"/>
              </w:rPr>
              <w:t xml:space="preserve"> </w:t>
            </w:r>
            <w:proofErr w:type="spellStart"/>
            <w:r w:rsidRPr="004F4BDC">
              <w:rPr>
                <w:rFonts w:ascii="Calibri" w:hAnsi="Calibri"/>
              </w:rPr>
              <w:t>Belobradová</w:t>
            </w:r>
            <w:proofErr w:type="spellEnd"/>
            <w:r>
              <w:rPr>
                <w:rFonts w:ascii="Calibri" w:hAnsi="Calibri"/>
              </w:rPr>
              <w:t xml:space="preserve"> </w:t>
            </w:r>
            <w:r w:rsidRPr="004F4BDC">
              <w:rPr>
                <w:rFonts w:ascii="Calibri" w:hAnsi="Calibri"/>
              </w:rPr>
              <w:t xml:space="preserve">(OZ </w:t>
            </w:r>
            <w:proofErr w:type="spellStart"/>
            <w:r w:rsidRPr="004F4BDC">
              <w:rPr>
                <w:rFonts w:ascii="Calibri" w:hAnsi="Calibri"/>
              </w:rPr>
              <w:t>PŠaV</w:t>
            </w:r>
            <w:proofErr w:type="spellEnd"/>
            <w:r w:rsidRPr="004F4BDC">
              <w:rPr>
                <w:rFonts w:ascii="Calibri" w:hAnsi="Calibri"/>
              </w:rPr>
              <w:t>)</w:t>
            </w:r>
          </w:p>
          <w:p w:rsidR="004F4BDC" w:rsidRPr="0065064F" w:rsidRDefault="004F4BDC" w:rsidP="001806F1">
            <w:pPr>
              <w:cnfStyle w:val="000000100000" w:firstRow="0" w:lastRow="0" w:firstColumn="0" w:lastColumn="0" w:oddVBand="0" w:evenVBand="0" w:oddHBand="1" w:evenHBand="0" w:firstRowFirstColumn="0" w:firstRowLastColumn="0" w:lastRowFirstColumn="0" w:lastRowLastColumn="0"/>
              <w:rPr>
                <w:rFonts w:ascii="Calibri" w:hAnsi="Calibri"/>
              </w:rPr>
            </w:pPr>
            <w:r w:rsidRPr="004F4BDC">
              <w:rPr>
                <w:rFonts w:ascii="Calibri" w:hAnsi="Calibri"/>
              </w:rPr>
              <w:t>Miroslava Miklošová</w:t>
            </w:r>
            <w:r>
              <w:rPr>
                <w:rFonts w:ascii="Calibri" w:hAnsi="Calibri"/>
              </w:rPr>
              <w:t xml:space="preserve"> (</w:t>
            </w:r>
            <w:r w:rsidRPr="004F4BDC">
              <w:rPr>
                <w:rFonts w:ascii="Calibri" w:hAnsi="Calibri"/>
              </w:rPr>
              <w:t xml:space="preserve">OZ </w:t>
            </w:r>
            <w:proofErr w:type="spellStart"/>
            <w:r w:rsidRPr="004F4BDC">
              <w:rPr>
                <w:rFonts w:ascii="Calibri" w:hAnsi="Calibri"/>
              </w:rPr>
              <w:t>PŠaV</w:t>
            </w:r>
            <w:proofErr w:type="spellEnd"/>
            <w:r>
              <w:rPr>
                <w:rFonts w:ascii="Calibri" w:hAnsi="Calibri"/>
              </w:rPr>
              <w:t>)</w:t>
            </w:r>
          </w:p>
        </w:tc>
      </w:tr>
      <w:tr w:rsidR="00FF346D" w:rsidRPr="00AB3AE1" w:rsidTr="00FF346D">
        <w:trPr>
          <w:trHeight w:val="189"/>
        </w:trPr>
        <w:tc>
          <w:tcPr>
            <w:cnfStyle w:val="001000000000" w:firstRow="0" w:lastRow="0" w:firstColumn="1" w:lastColumn="0" w:oddVBand="0" w:evenVBand="0" w:oddHBand="0" w:evenHBand="0" w:firstRowFirstColumn="0" w:firstRowLastColumn="0" w:lastRowFirstColumn="0" w:lastRowLastColumn="0"/>
            <w:tcW w:w="1413" w:type="dxa"/>
          </w:tcPr>
          <w:p w:rsidR="00FF346D" w:rsidRPr="00AB3AE1" w:rsidRDefault="00FF346D" w:rsidP="00980974">
            <w:pPr>
              <w:rPr>
                <w:rFonts w:ascii="Calibri" w:hAnsi="Calibri"/>
              </w:rPr>
            </w:pPr>
          </w:p>
        </w:tc>
        <w:tc>
          <w:tcPr>
            <w:tcW w:w="5245" w:type="dxa"/>
          </w:tcPr>
          <w:p w:rsidR="00FF346D" w:rsidRPr="0065064F" w:rsidRDefault="00FF346D" w:rsidP="001806F1">
            <w:pPr>
              <w:cnfStyle w:val="000000000000" w:firstRow="0" w:lastRow="0" w:firstColumn="0" w:lastColumn="0" w:oddVBand="0" w:evenVBand="0" w:oddHBand="0" w:evenHBand="0" w:firstRowFirstColumn="0" w:firstRowLastColumn="0" w:lastRowFirstColumn="0" w:lastRowLastColumn="0"/>
              <w:rPr>
                <w:rFonts w:ascii="Calibri" w:hAnsi="Calibri"/>
              </w:rPr>
            </w:pPr>
          </w:p>
        </w:tc>
      </w:tr>
    </w:tbl>
    <w:p w:rsidR="00546134" w:rsidRDefault="00546134" w:rsidP="00546134">
      <w:pPr>
        <w:jc w:val="both"/>
        <w:rPr>
          <w:sz w:val="24"/>
          <w:szCs w:val="24"/>
        </w:rPr>
      </w:pPr>
    </w:p>
    <w:p w:rsidR="00546134" w:rsidRPr="002D66F6" w:rsidRDefault="00546134" w:rsidP="00546134">
      <w:pPr>
        <w:jc w:val="both"/>
        <w:rPr>
          <w:sz w:val="24"/>
          <w:szCs w:val="24"/>
        </w:rPr>
      </w:pPr>
      <w:r w:rsidRPr="002D66F6">
        <w:rPr>
          <w:sz w:val="24"/>
          <w:szCs w:val="24"/>
        </w:rPr>
        <w:t xml:space="preserve">V dňoch 29.10.2018 – 31.10.2018 sa konala 2.časť Európskej akadémie sociálneho dialógu v budove </w:t>
      </w:r>
      <w:proofErr w:type="spellStart"/>
      <w:r>
        <w:rPr>
          <w:sz w:val="24"/>
          <w:szCs w:val="24"/>
        </w:rPr>
        <w:t>Europe</w:t>
      </w:r>
      <w:proofErr w:type="spellEnd"/>
      <w:r>
        <w:rPr>
          <w:sz w:val="24"/>
          <w:szCs w:val="24"/>
        </w:rPr>
        <w:t xml:space="preserve"> Trade </w:t>
      </w:r>
      <w:proofErr w:type="spellStart"/>
      <w:r>
        <w:rPr>
          <w:sz w:val="24"/>
          <w:szCs w:val="24"/>
        </w:rPr>
        <w:t>Union</w:t>
      </w:r>
      <w:proofErr w:type="spellEnd"/>
      <w:r>
        <w:rPr>
          <w:sz w:val="24"/>
          <w:szCs w:val="24"/>
        </w:rPr>
        <w:t xml:space="preserve"> </w:t>
      </w:r>
      <w:proofErr w:type="spellStart"/>
      <w:r>
        <w:rPr>
          <w:sz w:val="24"/>
          <w:szCs w:val="24"/>
        </w:rPr>
        <w:t>H</w:t>
      </w:r>
      <w:r w:rsidRPr="002D66F6">
        <w:rPr>
          <w:sz w:val="24"/>
          <w:szCs w:val="24"/>
        </w:rPr>
        <w:t>ouse</w:t>
      </w:r>
      <w:proofErr w:type="spellEnd"/>
      <w:r w:rsidRPr="002D66F6">
        <w:rPr>
          <w:sz w:val="24"/>
          <w:szCs w:val="24"/>
        </w:rPr>
        <w:t xml:space="preserve"> v Bruseli. Na tejto časti školenia sa zúčastnili zástupkyne  OZ Potravinárov a OZ pracovníkov v oblasti vzdelávania a vedy, Zorka </w:t>
      </w:r>
      <w:proofErr w:type="spellStart"/>
      <w:r w:rsidRPr="002D66F6">
        <w:rPr>
          <w:sz w:val="24"/>
          <w:szCs w:val="24"/>
        </w:rPr>
        <w:t>Velčická</w:t>
      </w:r>
      <w:proofErr w:type="spellEnd"/>
      <w:r w:rsidRPr="002D66F6">
        <w:rPr>
          <w:sz w:val="24"/>
          <w:szCs w:val="24"/>
        </w:rPr>
        <w:t xml:space="preserve"> a Barbora </w:t>
      </w:r>
      <w:proofErr w:type="spellStart"/>
      <w:r w:rsidRPr="002D66F6">
        <w:rPr>
          <w:sz w:val="24"/>
          <w:szCs w:val="24"/>
        </w:rPr>
        <w:t>Belobradová</w:t>
      </w:r>
      <w:proofErr w:type="spellEnd"/>
      <w:r w:rsidRPr="002D66F6">
        <w:rPr>
          <w:sz w:val="24"/>
          <w:szCs w:val="24"/>
        </w:rPr>
        <w:t xml:space="preserve">, spolu s ďalšími zástupcami z Írska, Turecka, Česka, Talianska, Španielska, Švédska, Litvy, Poľska, Bulharska, Holandska a Belgicka. </w:t>
      </w:r>
    </w:p>
    <w:p w:rsidR="00546134" w:rsidRDefault="00546134" w:rsidP="00546134">
      <w:pPr>
        <w:jc w:val="both"/>
        <w:rPr>
          <w:sz w:val="24"/>
          <w:szCs w:val="24"/>
        </w:rPr>
      </w:pPr>
    </w:p>
    <w:p w:rsidR="00546134" w:rsidRPr="002D66F6" w:rsidRDefault="00546134" w:rsidP="00546134">
      <w:pPr>
        <w:jc w:val="both"/>
        <w:rPr>
          <w:sz w:val="24"/>
          <w:szCs w:val="24"/>
        </w:rPr>
      </w:pPr>
      <w:r w:rsidRPr="002D66F6">
        <w:rPr>
          <w:sz w:val="24"/>
          <w:szCs w:val="24"/>
        </w:rPr>
        <w:t>29.10.2018</w:t>
      </w:r>
    </w:p>
    <w:p w:rsidR="00546134" w:rsidRDefault="00546134" w:rsidP="00546134">
      <w:pPr>
        <w:jc w:val="both"/>
        <w:rPr>
          <w:sz w:val="24"/>
          <w:szCs w:val="24"/>
        </w:rPr>
      </w:pPr>
    </w:p>
    <w:p w:rsidR="00546134" w:rsidRPr="002D66F6" w:rsidRDefault="00546134" w:rsidP="00546134">
      <w:pPr>
        <w:jc w:val="both"/>
        <w:rPr>
          <w:sz w:val="24"/>
          <w:szCs w:val="24"/>
        </w:rPr>
      </w:pPr>
      <w:r w:rsidRPr="002D66F6">
        <w:rPr>
          <w:sz w:val="24"/>
          <w:szCs w:val="24"/>
        </w:rPr>
        <w:t>Pondelkové stretnutie začalo veľmi svižne, vďaka Rua</w:t>
      </w:r>
      <w:r>
        <w:rPr>
          <w:sz w:val="24"/>
          <w:szCs w:val="24"/>
        </w:rPr>
        <w:t>iri</w:t>
      </w:r>
      <w:r w:rsidRPr="002D66F6">
        <w:rPr>
          <w:sz w:val="24"/>
          <w:szCs w:val="24"/>
        </w:rPr>
        <w:t xml:space="preserve"> </w:t>
      </w:r>
      <w:proofErr w:type="spellStart"/>
      <w:r w:rsidRPr="002D66F6">
        <w:rPr>
          <w:sz w:val="24"/>
          <w:szCs w:val="24"/>
        </w:rPr>
        <w:t>Fitzgeraldovi</w:t>
      </w:r>
      <w:proofErr w:type="spellEnd"/>
      <w:r w:rsidRPr="002D66F6">
        <w:rPr>
          <w:sz w:val="24"/>
          <w:szCs w:val="24"/>
        </w:rPr>
        <w:t xml:space="preserve">, ktorý po úvodnom uvítaní, účastníkov rozdelil do dvoch skupín. Každá skupina si určila svoj názov a odpovedala na pripravené kvízové otázky z opakovania prvej časti školenia. Víťazná skupina bola odmenená. </w:t>
      </w:r>
    </w:p>
    <w:p w:rsidR="00546134" w:rsidRDefault="00546134" w:rsidP="00546134">
      <w:pPr>
        <w:jc w:val="both"/>
        <w:rPr>
          <w:sz w:val="24"/>
          <w:szCs w:val="24"/>
        </w:rPr>
      </w:pPr>
    </w:p>
    <w:p w:rsidR="00546134" w:rsidRPr="002D66F6" w:rsidRDefault="00546134" w:rsidP="00546134">
      <w:pPr>
        <w:jc w:val="both"/>
        <w:rPr>
          <w:sz w:val="24"/>
          <w:szCs w:val="24"/>
        </w:rPr>
      </w:pPr>
      <w:r w:rsidRPr="002D66F6">
        <w:rPr>
          <w:sz w:val="24"/>
          <w:szCs w:val="24"/>
        </w:rPr>
        <w:t xml:space="preserve">Po obednej prestávke sa pokračovalo  prednáškou, ktorú viedol pán Kristian Bongelli, zástupca ETUC. Prednáška na tému Európskeho semestra bola náročná na pochopenie zložitého reťazca ES, stratégia ETUC v ovplyvňovaní ES. Európsky semester je v podstate nová forma zavádzania zmlúv, predstavuje rámec pre koordináciu hospodárskych politík medzi členskými štátmi EÚ. Je rozdelený na dve základné časti, tzv. Rozpočtový cyklus a Cyklus všeobecných hospodárskych usmernení. Začína sa v novembri, keď Európska komisia stanovuje priority na nadchádzajúci rok a končí v októbri nasledujúceho roka, keď národné vlády predložia návrhy rozpočtových plánov s prihliadnutím na odporúčania EÚ. </w:t>
      </w:r>
    </w:p>
    <w:p w:rsidR="00546134" w:rsidRDefault="00546134" w:rsidP="00546134">
      <w:pPr>
        <w:jc w:val="both"/>
        <w:rPr>
          <w:sz w:val="24"/>
          <w:szCs w:val="24"/>
        </w:rPr>
      </w:pPr>
    </w:p>
    <w:p w:rsidR="00546134" w:rsidRDefault="00546134" w:rsidP="00546134">
      <w:pPr>
        <w:jc w:val="both"/>
        <w:rPr>
          <w:sz w:val="24"/>
          <w:szCs w:val="24"/>
        </w:rPr>
      </w:pPr>
      <w:r w:rsidRPr="002D66F6">
        <w:rPr>
          <w:sz w:val="24"/>
          <w:szCs w:val="24"/>
        </w:rPr>
        <w:t xml:space="preserve">3.časť v neskorých poobedných hodinách začal pán Ignacio Doreste, zástupca ETUC. Táto časť bola venovaná Mladým zamestnancom, mladým odborárom a ich úlohe v rozširovaní radov odborárov a vzdelávaní. ETUC Youth </w:t>
      </w:r>
      <w:proofErr w:type="spellStart"/>
      <w:r w:rsidRPr="002D66F6">
        <w:rPr>
          <w:sz w:val="24"/>
          <w:szCs w:val="24"/>
        </w:rPr>
        <w:t>Comittee</w:t>
      </w:r>
      <w:proofErr w:type="spellEnd"/>
      <w:r w:rsidRPr="002D66F6">
        <w:rPr>
          <w:sz w:val="24"/>
          <w:szCs w:val="24"/>
        </w:rPr>
        <w:t xml:space="preserve"> je nezávislou štruktúrou medzi ETUC. Zástupcom ETUC YC na Slovensku je Miroslav Hajnoš. ETUC YC sa stretáva dvakrát do roka a vypracováva akčné programy. Dlhodobo spolupracujú s ETUI </w:t>
      </w:r>
      <w:r>
        <w:rPr>
          <w:sz w:val="24"/>
          <w:szCs w:val="24"/>
        </w:rPr>
        <w:t xml:space="preserve">na vzdelávaní mladých odborových zamestnancov . Hlavnou úlohou EY je hlavne naučiť sa sociálnemu dialógu, ktorý je nutné využívať pri vyjednávaní a  posilniť ETUC rôznymi formami, napr. Organizovaním aktivít, projektovým manažmentom, iniciovanie strategických diskusií, spolupracovať s lokálnymi odbormi v krajine. </w:t>
      </w:r>
    </w:p>
    <w:p w:rsidR="00546134" w:rsidRDefault="00546134" w:rsidP="00546134">
      <w:pPr>
        <w:jc w:val="both"/>
        <w:rPr>
          <w:sz w:val="24"/>
          <w:szCs w:val="24"/>
        </w:rPr>
      </w:pPr>
    </w:p>
    <w:p w:rsidR="00546134" w:rsidRDefault="00546134" w:rsidP="00546134">
      <w:pPr>
        <w:jc w:val="both"/>
        <w:rPr>
          <w:sz w:val="24"/>
          <w:szCs w:val="24"/>
        </w:rPr>
      </w:pPr>
      <w:r>
        <w:rPr>
          <w:sz w:val="24"/>
          <w:szCs w:val="24"/>
        </w:rPr>
        <w:t>30.10.2018</w:t>
      </w:r>
    </w:p>
    <w:p w:rsidR="00546134" w:rsidRDefault="00546134" w:rsidP="00546134">
      <w:pPr>
        <w:jc w:val="both"/>
        <w:rPr>
          <w:sz w:val="24"/>
          <w:szCs w:val="24"/>
        </w:rPr>
      </w:pPr>
    </w:p>
    <w:p w:rsidR="00546134" w:rsidRDefault="00546134" w:rsidP="00546134">
      <w:pPr>
        <w:jc w:val="both"/>
        <w:rPr>
          <w:sz w:val="24"/>
          <w:szCs w:val="24"/>
        </w:rPr>
      </w:pPr>
      <w:r>
        <w:rPr>
          <w:sz w:val="24"/>
          <w:szCs w:val="24"/>
        </w:rPr>
        <w:t xml:space="preserve">Utorkové stretnutie opäť vo veľmi svižnom tempe začala pani </w:t>
      </w:r>
      <w:proofErr w:type="spellStart"/>
      <w:r>
        <w:rPr>
          <w:sz w:val="24"/>
          <w:szCs w:val="24"/>
        </w:rPr>
        <w:t>Julianne</w:t>
      </w:r>
      <w:proofErr w:type="spellEnd"/>
      <w:r>
        <w:rPr>
          <w:sz w:val="24"/>
          <w:szCs w:val="24"/>
        </w:rPr>
        <w:t xml:space="preserve"> Bir spolu s Ruairi </w:t>
      </w:r>
      <w:proofErr w:type="spellStart"/>
      <w:r>
        <w:rPr>
          <w:sz w:val="24"/>
          <w:szCs w:val="24"/>
        </w:rPr>
        <w:t>Fitzgeraldom</w:t>
      </w:r>
      <w:proofErr w:type="spellEnd"/>
      <w:r>
        <w:rPr>
          <w:sz w:val="24"/>
          <w:szCs w:val="24"/>
        </w:rPr>
        <w:t xml:space="preserve">. Účastníkov rozdelili do dvoch skupín. V prvej skupine boli účastníci, ktorí sa prezentovali ako silné osobnosti a mali prevažne mužské zastúpenie. V druhej skupine bolo viac žien. Obe skupiny ešte rozdelili na dve časti. V každej skupine teda boli predstavitelia odborov a zamestnávateľov. Dostali zadanie vyjednať novú kolektívnu zmluvu v podniku, ktorý je dlhodobo nedostatočne platený napriek tomu, že vykazuje vysoké zisky. Prvá skupina zostavená prevažne z mužov, kolektívnu zmluvu nevyjednala, zamestnávatelia sa s odborármi nedohodli. Skupina zamestnávateľov nechcela pristúpiť na žiadnu zmenu a úpravu kolektívnej zmluvy, </w:t>
      </w:r>
      <w:proofErr w:type="spellStart"/>
      <w:r>
        <w:rPr>
          <w:sz w:val="24"/>
          <w:szCs w:val="24"/>
        </w:rPr>
        <w:t>vtrdo</w:t>
      </w:r>
      <w:proofErr w:type="spellEnd"/>
      <w:r>
        <w:rPr>
          <w:sz w:val="24"/>
          <w:szCs w:val="24"/>
        </w:rPr>
        <w:t xml:space="preserve"> </w:t>
      </w:r>
      <w:proofErr w:type="spellStart"/>
      <w:r>
        <w:rPr>
          <w:sz w:val="24"/>
          <w:szCs w:val="24"/>
        </w:rPr>
        <w:t>tvali</w:t>
      </w:r>
      <w:proofErr w:type="spellEnd"/>
      <w:r>
        <w:rPr>
          <w:sz w:val="24"/>
          <w:szCs w:val="24"/>
        </w:rPr>
        <w:t xml:space="preserve"> na starých podmienkach firmy. Druhá skupina, kde bola prevažná časť žien, kolektívnu zmluvu dohodla s novými podmienkami. Šli cestou ponuky priemeru  všetkých </w:t>
      </w:r>
      <w:r>
        <w:rPr>
          <w:sz w:val="24"/>
          <w:szCs w:val="24"/>
        </w:rPr>
        <w:lastRenderedPageBreak/>
        <w:t xml:space="preserve">dcérskych firiem. Dohodli sa na čiastočnej úprave platových podmienok, zdravotného poistenia i navyšovania platov každoročne o mieru inflácie. Pri finančnom prepočte to pre zamestnávateľa nepredstavovalo vysoké výdavky na chod firmy, no pre zamestnancov, resp. Odborárov to bol výrazný krok vpred vo vyjednávaní podmienok kolektívnej zmluvy. Dôležité pri tejto skupinovej aktivite bolo stanovenie mandátu, stratégie a taktiky. Pri taktike využívať najmä dôveru v kolegov odborárov, otvorenosť, empatia, zmýšľanie a vcítenie sa kože druhej strany, argumentácia a najmä byť pri vyjednávaní ako jeden hlas. To sa týka oboch zúčastnených strán. Rozdiel medzi oboma vyjednávacími skupinami bol najmä v prístupe. Kým jedna skupina s prevažnou účasťou mužov striktne odmietla akúkoľvek argumentáciu druhej strany, druhá skupina zložená najmä zo žien bola argumentácii otvorená, teda v tejto skupine prebehol sociálny dialóg na úrovni akej sa očakáva. </w:t>
      </w:r>
    </w:p>
    <w:p w:rsidR="00546134" w:rsidRDefault="00546134" w:rsidP="00546134">
      <w:pPr>
        <w:jc w:val="both"/>
        <w:rPr>
          <w:sz w:val="24"/>
          <w:szCs w:val="24"/>
        </w:rPr>
      </w:pPr>
    </w:p>
    <w:p w:rsidR="00546134" w:rsidRDefault="00546134" w:rsidP="00546134">
      <w:pPr>
        <w:jc w:val="both"/>
        <w:rPr>
          <w:sz w:val="24"/>
          <w:szCs w:val="24"/>
        </w:rPr>
      </w:pPr>
      <w:r>
        <w:rPr>
          <w:sz w:val="24"/>
          <w:szCs w:val="24"/>
        </w:rPr>
        <w:t xml:space="preserve">Poobedné stretnutie s pánom Richardom </w:t>
      </w:r>
      <w:proofErr w:type="spellStart"/>
      <w:r>
        <w:rPr>
          <w:sz w:val="24"/>
          <w:szCs w:val="24"/>
        </w:rPr>
        <w:t>Pondom</w:t>
      </w:r>
      <w:proofErr w:type="spellEnd"/>
      <w:r>
        <w:rPr>
          <w:sz w:val="24"/>
          <w:szCs w:val="24"/>
        </w:rPr>
        <w:t xml:space="preserve">, pracovníkom EPSU – European </w:t>
      </w:r>
      <w:proofErr w:type="spellStart"/>
      <w:r>
        <w:rPr>
          <w:sz w:val="24"/>
          <w:szCs w:val="24"/>
        </w:rPr>
        <w:t>Federation</w:t>
      </w:r>
      <w:proofErr w:type="spellEnd"/>
      <w:r>
        <w:rPr>
          <w:sz w:val="24"/>
          <w:szCs w:val="24"/>
        </w:rPr>
        <w:t xml:space="preserve"> of </w:t>
      </w:r>
      <w:proofErr w:type="spellStart"/>
      <w:r>
        <w:rPr>
          <w:sz w:val="24"/>
          <w:szCs w:val="24"/>
        </w:rPr>
        <w:t>Public</w:t>
      </w:r>
      <w:proofErr w:type="spellEnd"/>
      <w:r>
        <w:rPr>
          <w:sz w:val="24"/>
          <w:szCs w:val="24"/>
        </w:rPr>
        <w:t xml:space="preserve"> Service </w:t>
      </w:r>
      <w:proofErr w:type="spellStart"/>
      <w:r>
        <w:rPr>
          <w:sz w:val="24"/>
          <w:szCs w:val="24"/>
        </w:rPr>
        <w:t>Union</w:t>
      </w:r>
      <w:proofErr w:type="spellEnd"/>
      <w:r>
        <w:rPr>
          <w:sz w:val="24"/>
          <w:szCs w:val="24"/>
        </w:rPr>
        <w:t xml:space="preserve">, bolo zamerané na európsky </w:t>
      </w:r>
      <w:proofErr w:type="spellStart"/>
      <w:r>
        <w:rPr>
          <w:sz w:val="24"/>
          <w:szCs w:val="24"/>
        </w:rPr>
        <w:t>sektorálny</w:t>
      </w:r>
      <w:proofErr w:type="spellEnd"/>
      <w:r>
        <w:rPr>
          <w:sz w:val="24"/>
          <w:szCs w:val="24"/>
        </w:rPr>
        <w:t xml:space="preserve"> sociálny dialóg a verejný sektor. EPSU zastupuje 8 miliónov členov, z toho je prevažná väčšina -  68% žien, 275 Odborových organizácií v 49 krajinách. Úlohou EPSU je spájanie a spolupráca týchto Trade </w:t>
      </w:r>
      <w:proofErr w:type="spellStart"/>
      <w:r>
        <w:rPr>
          <w:sz w:val="24"/>
          <w:szCs w:val="24"/>
        </w:rPr>
        <w:t>Union</w:t>
      </w:r>
      <w:proofErr w:type="spellEnd"/>
      <w:r>
        <w:rPr>
          <w:sz w:val="24"/>
          <w:szCs w:val="24"/>
        </w:rPr>
        <w:t xml:space="preserve"> TUNED( odborových organizácií) v Európe spolu s EUPAE .  Má 4 aktívne </w:t>
      </w:r>
      <w:proofErr w:type="spellStart"/>
      <w:r>
        <w:rPr>
          <w:sz w:val="24"/>
          <w:szCs w:val="24"/>
        </w:rPr>
        <w:t>sektorálne</w:t>
      </w:r>
      <w:proofErr w:type="spellEnd"/>
      <w:r>
        <w:rPr>
          <w:sz w:val="24"/>
          <w:szCs w:val="24"/>
        </w:rPr>
        <w:t xml:space="preserve"> komisie: Zdravie a sociálne služby – Nemocnice, Lokálne a regionálne vlády, Národná a európska administratíva a Energetika ( energie, vody, odpady). Všetky 4 komisie majú spoločného menovateľa a tým je Sociálny dialóg, ktorý je základom funkčnosti týchto komisií a spolupráce. Od roku 2010 existuje aj organizácia zamestnávateľov EUPAE. Pozostáva z 11 členov a 6 pozorovateľov.  Zameriavajú sa na psychologické riziká práce, pracujúcich migrantov, rozdiely v platoch, digitalizáciu a tzv. </w:t>
      </w:r>
      <w:proofErr w:type="spellStart"/>
      <w:r>
        <w:rPr>
          <w:sz w:val="24"/>
          <w:szCs w:val="24"/>
        </w:rPr>
        <w:t>Work</w:t>
      </w:r>
      <w:proofErr w:type="spellEnd"/>
      <w:r>
        <w:rPr>
          <w:sz w:val="24"/>
          <w:szCs w:val="24"/>
        </w:rPr>
        <w:t xml:space="preserve"> </w:t>
      </w:r>
      <w:proofErr w:type="spellStart"/>
      <w:r>
        <w:rPr>
          <w:sz w:val="24"/>
          <w:szCs w:val="24"/>
        </w:rPr>
        <w:t>Balance</w:t>
      </w:r>
      <w:proofErr w:type="spellEnd"/>
      <w:r>
        <w:rPr>
          <w:sz w:val="24"/>
          <w:szCs w:val="24"/>
        </w:rPr>
        <w:t xml:space="preserve"> </w:t>
      </w:r>
      <w:proofErr w:type="spellStart"/>
      <w:r>
        <w:rPr>
          <w:sz w:val="24"/>
          <w:szCs w:val="24"/>
        </w:rPr>
        <w:t>Life</w:t>
      </w:r>
      <w:proofErr w:type="spellEnd"/>
      <w:r>
        <w:rPr>
          <w:sz w:val="24"/>
          <w:szCs w:val="24"/>
        </w:rPr>
        <w:t xml:space="preserve"> – balans medzi prácou a súkromným životom. Dozvedeli sme sa o pracovnom programe EUPAE na roky 2019 a 2020 a tým je zameranie sa na príjem nových mladých zamestnancov, ich udržanie v práci, rovnaké etniká a sexuálnu orientáciu. </w:t>
      </w:r>
    </w:p>
    <w:p w:rsidR="00546134" w:rsidRDefault="00546134" w:rsidP="00546134">
      <w:pPr>
        <w:jc w:val="both"/>
        <w:rPr>
          <w:sz w:val="24"/>
          <w:szCs w:val="24"/>
        </w:rPr>
      </w:pPr>
    </w:p>
    <w:p w:rsidR="00546134" w:rsidRDefault="00546134" w:rsidP="00546134">
      <w:pPr>
        <w:jc w:val="both"/>
        <w:rPr>
          <w:sz w:val="24"/>
          <w:szCs w:val="24"/>
        </w:rPr>
      </w:pPr>
      <w:r>
        <w:rPr>
          <w:sz w:val="24"/>
          <w:szCs w:val="24"/>
        </w:rPr>
        <w:t>Poslednou časťou utorkového stretnutia bola skupinová aktivita zameraná na udržanie mladých zamestnancov v práci. Určenie hlavného problému mladých zamestnancov v zamestnanosti, ich udržanie v práci z dlhodobého hľadiska. Úlohou účastníkov bolo zamerať sa na tieto hlavné problémy a skúšať nájsť riešenia.</w:t>
      </w:r>
    </w:p>
    <w:p w:rsidR="00546134" w:rsidRDefault="00546134" w:rsidP="00546134">
      <w:pPr>
        <w:jc w:val="both"/>
        <w:rPr>
          <w:sz w:val="24"/>
          <w:szCs w:val="24"/>
        </w:rPr>
      </w:pPr>
    </w:p>
    <w:p w:rsidR="00546134" w:rsidRDefault="00546134" w:rsidP="00546134">
      <w:pPr>
        <w:jc w:val="both"/>
        <w:rPr>
          <w:sz w:val="24"/>
          <w:szCs w:val="24"/>
        </w:rPr>
      </w:pPr>
      <w:r>
        <w:rPr>
          <w:sz w:val="24"/>
          <w:szCs w:val="24"/>
        </w:rPr>
        <w:t xml:space="preserve">Deň bol ukončený pozvánkou na spoločnú večeru účastníkov spolu s Ruairi </w:t>
      </w:r>
      <w:proofErr w:type="spellStart"/>
      <w:r>
        <w:rPr>
          <w:sz w:val="24"/>
          <w:szCs w:val="24"/>
        </w:rPr>
        <w:t>Fitzgeraldom</w:t>
      </w:r>
      <w:proofErr w:type="spellEnd"/>
      <w:r>
        <w:rPr>
          <w:sz w:val="24"/>
          <w:szCs w:val="24"/>
        </w:rPr>
        <w:t xml:space="preserve"> – poradcom ETUC sídliacim v Bruseli. Večera sa niesla v priateľskom duchu, uvoľnenej atmosfére kde sa debatovalo o skúsenostiach odborových združení účastníkov stretnutia.</w:t>
      </w:r>
    </w:p>
    <w:p w:rsidR="00546134" w:rsidRDefault="00546134" w:rsidP="00546134">
      <w:pPr>
        <w:jc w:val="both"/>
        <w:rPr>
          <w:sz w:val="24"/>
          <w:szCs w:val="24"/>
        </w:rPr>
      </w:pPr>
    </w:p>
    <w:p w:rsidR="00546134" w:rsidRDefault="00546134" w:rsidP="00546134">
      <w:pPr>
        <w:jc w:val="both"/>
        <w:rPr>
          <w:sz w:val="24"/>
          <w:szCs w:val="24"/>
        </w:rPr>
      </w:pPr>
      <w:r>
        <w:rPr>
          <w:sz w:val="24"/>
          <w:szCs w:val="24"/>
        </w:rPr>
        <w:t>31.10.2018</w:t>
      </w:r>
    </w:p>
    <w:p w:rsidR="00546134" w:rsidRDefault="00546134" w:rsidP="00546134">
      <w:pPr>
        <w:jc w:val="both"/>
        <w:rPr>
          <w:sz w:val="24"/>
          <w:szCs w:val="24"/>
        </w:rPr>
      </w:pPr>
    </w:p>
    <w:p w:rsidR="00546134" w:rsidRDefault="00546134" w:rsidP="00546134">
      <w:pPr>
        <w:jc w:val="both"/>
        <w:rPr>
          <w:sz w:val="24"/>
          <w:szCs w:val="24"/>
        </w:rPr>
      </w:pPr>
      <w:r>
        <w:rPr>
          <w:sz w:val="24"/>
          <w:szCs w:val="24"/>
        </w:rPr>
        <w:t xml:space="preserve">Posledný deň stretnutia sa začal na tému  Partnerov európskeho sociálneho dialógu – spolupráci na európskej úrovni. Túto časť viedol pán Peter Scherrer – zástupca generálneho sekretára ETUC spolu s pánom Maximom </w:t>
      </w:r>
      <w:proofErr w:type="spellStart"/>
      <w:r>
        <w:rPr>
          <w:sz w:val="24"/>
          <w:szCs w:val="24"/>
        </w:rPr>
        <w:t>Ceruttim</w:t>
      </w:r>
      <w:proofErr w:type="spellEnd"/>
      <w:r>
        <w:rPr>
          <w:sz w:val="24"/>
          <w:szCs w:val="24"/>
        </w:rPr>
        <w:t xml:space="preserve"> – riaditeľom pre sociálne záležitosti v </w:t>
      </w:r>
      <w:proofErr w:type="spellStart"/>
      <w:r>
        <w:rPr>
          <w:sz w:val="24"/>
          <w:szCs w:val="24"/>
        </w:rPr>
        <w:t>BusinessEurope</w:t>
      </w:r>
      <w:proofErr w:type="spellEnd"/>
      <w:r>
        <w:rPr>
          <w:sz w:val="24"/>
          <w:szCs w:val="24"/>
        </w:rPr>
        <w:t xml:space="preserve">. </w:t>
      </w:r>
      <w:proofErr w:type="spellStart"/>
      <w:r>
        <w:rPr>
          <w:sz w:val="24"/>
          <w:szCs w:val="24"/>
        </w:rPr>
        <w:t>BusinessEurope</w:t>
      </w:r>
      <w:proofErr w:type="spellEnd"/>
      <w:r>
        <w:rPr>
          <w:sz w:val="24"/>
          <w:szCs w:val="24"/>
        </w:rPr>
        <w:t xml:space="preserve"> je zástupcom firiem a európskych podnikov</w:t>
      </w:r>
      <w:r w:rsidRPr="009661FA">
        <w:rPr>
          <w:sz w:val="24"/>
          <w:szCs w:val="24"/>
        </w:rPr>
        <w:t xml:space="preserve"> na med</w:t>
      </w:r>
      <w:r>
        <w:rPr>
          <w:sz w:val="24"/>
          <w:szCs w:val="24"/>
        </w:rPr>
        <w:t>zinárodnej scéne a zabezpečuje</w:t>
      </w:r>
      <w:r w:rsidRPr="009661FA">
        <w:rPr>
          <w:sz w:val="24"/>
          <w:szCs w:val="24"/>
        </w:rPr>
        <w:t>, aby Európa zostala globálne konkurencieschopná.</w:t>
      </w:r>
      <w:r>
        <w:rPr>
          <w:sz w:val="24"/>
          <w:szCs w:val="24"/>
        </w:rPr>
        <w:t xml:space="preserve"> </w:t>
      </w:r>
    </w:p>
    <w:p w:rsidR="00546134" w:rsidRDefault="00546134" w:rsidP="00546134">
      <w:pPr>
        <w:jc w:val="both"/>
        <w:rPr>
          <w:sz w:val="24"/>
          <w:szCs w:val="24"/>
        </w:rPr>
      </w:pPr>
    </w:p>
    <w:p w:rsidR="00546134" w:rsidRDefault="00546134" w:rsidP="00546134">
      <w:pPr>
        <w:jc w:val="both"/>
        <w:rPr>
          <w:sz w:val="24"/>
          <w:szCs w:val="24"/>
        </w:rPr>
      </w:pPr>
      <w:r>
        <w:rPr>
          <w:sz w:val="24"/>
          <w:szCs w:val="24"/>
        </w:rPr>
        <w:t xml:space="preserve">Peter Scherrer vysvetlil, že tri najdôležitejšie faktory ovplyvňujúce vyjednávanie sú: dôvera, potreba a fakty. Prízvukoval najmä na to, že sociálny dialóg </w:t>
      </w:r>
      <w:proofErr w:type="spellStart"/>
      <w:r>
        <w:rPr>
          <w:sz w:val="24"/>
          <w:szCs w:val="24"/>
        </w:rPr>
        <w:t>musi</w:t>
      </w:r>
      <w:proofErr w:type="spellEnd"/>
      <w:r>
        <w:rPr>
          <w:sz w:val="24"/>
          <w:szCs w:val="24"/>
        </w:rPr>
        <w:t xml:space="preserve"> byť nezávislý od politiky a musí motivovať k dôvere oboch  vyjednávajúcich strán. </w:t>
      </w:r>
    </w:p>
    <w:p w:rsidR="00546134" w:rsidRDefault="00546134" w:rsidP="00546134">
      <w:pPr>
        <w:jc w:val="both"/>
        <w:rPr>
          <w:sz w:val="24"/>
          <w:szCs w:val="24"/>
        </w:rPr>
      </w:pPr>
    </w:p>
    <w:p w:rsidR="00546134" w:rsidRDefault="00546134" w:rsidP="00546134">
      <w:pPr>
        <w:jc w:val="both"/>
        <w:rPr>
          <w:sz w:val="24"/>
          <w:szCs w:val="24"/>
        </w:rPr>
      </w:pPr>
      <w:r>
        <w:rPr>
          <w:sz w:val="24"/>
          <w:szCs w:val="24"/>
        </w:rPr>
        <w:t xml:space="preserve">Koncovou časťou celého EASD bolo </w:t>
      </w:r>
      <w:proofErr w:type="spellStart"/>
      <w:r>
        <w:rPr>
          <w:sz w:val="24"/>
          <w:szCs w:val="24"/>
        </w:rPr>
        <w:t>odovzávanie</w:t>
      </w:r>
      <w:proofErr w:type="spellEnd"/>
      <w:r>
        <w:rPr>
          <w:sz w:val="24"/>
          <w:szCs w:val="24"/>
        </w:rPr>
        <w:t xml:space="preserve"> certifikátov o absolvovaní akadémie. Ruairi Fitzgerald zhrnul októbrové stretnutie v Bruseli a význam SD . </w:t>
      </w:r>
    </w:p>
    <w:p w:rsidR="00546134" w:rsidRPr="000E0DFA" w:rsidRDefault="00546134" w:rsidP="00546134">
      <w:pPr>
        <w:jc w:val="both"/>
        <w:rPr>
          <w:sz w:val="24"/>
          <w:szCs w:val="24"/>
        </w:rPr>
      </w:pPr>
    </w:p>
    <w:p w:rsidR="00D56E43" w:rsidRPr="00FF346D" w:rsidRDefault="00D56E43" w:rsidP="00D56E43">
      <w:pPr>
        <w:rPr>
          <w:rFonts w:asciiTheme="minorHAnsi" w:hAnsiTheme="minorHAnsi"/>
          <w:sz w:val="18"/>
        </w:rPr>
      </w:pPr>
      <w:bookmarkStart w:id="0" w:name="_GoBack"/>
      <w:bookmarkEnd w:id="0"/>
    </w:p>
    <w:sectPr w:rsidR="00D56E43" w:rsidRPr="00FF346D" w:rsidSect="00793060">
      <w:headerReference w:type="default" r:id="rId7"/>
      <w:pgSz w:w="11907" w:h="16840" w:code="9"/>
      <w:pgMar w:top="1134" w:right="851" w:bottom="1134" w:left="851" w:header="113" w:footer="34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FC6" w:rsidRDefault="00804FC6">
      <w:r>
        <w:separator/>
      </w:r>
    </w:p>
  </w:endnote>
  <w:endnote w:type="continuationSeparator" w:id="0">
    <w:p w:rsidR="00804FC6" w:rsidRDefault="0080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FC6" w:rsidRDefault="00804FC6">
      <w:r>
        <w:separator/>
      </w:r>
    </w:p>
  </w:footnote>
  <w:footnote w:type="continuationSeparator" w:id="0">
    <w:p w:rsidR="00804FC6" w:rsidRDefault="00804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60" w:rsidRPr="00F11227" w:rsidRDefault="00793060" w:rsidP="00793060">
    <w:pPr>
      <w:rPr>
        <w:rFonts w:ascii="Calibri" w:hAnsi="Calibri"/>
        <w:b/>
        <w:sz w:val="22"/>
      </w:rPr>
    </w:pPr>
    <w:r w:rsidRPr="00980974">
      <w:rPr>
        <w:rFonts w:ascii="Arial Narrow" w:hAnsi="Arial Narrow"/>
        <w:noProof/>
      </w:rPr>
      <w:drawing>
        <wp:anchor distT="0" distB="0" distL="114300" distR="114300" simplePos="0" relativeHeight="251659264" behindDoc="1" locked="0" layoutInCell="1" allowOverlap="1" wp14:anchorId="591DD005" wp14:editId="67C2411B">
          <wp:simplePos x="0" y="0"/>
          <wp:positionH relativeFrom="margin">
            <wp:posOffset>-77470</wp:posOffset>
          </wp:positionH>
          <wp:positionV relativeFrom="paragraph">
            <wp:posOffset>167640</wp:posOffset>
          </wp:positionV>
          <wp:extent cx="904240" cy="475615"/>
          <wp:effectExtent l="0" t="0" r="0" b="63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424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974">
      <w:rPr>
        <w:rFonts w:ascii="Arial Narrow" w:hAnsi="Arial Narrow"/>
        <w:b/>
        <w:sz w:val="22"/>
      </w:rPr>
      <w:tab/>
    </w:r>
    <w:r w:rsidRPr="00980974">
      <w:rPr>
        <w:rFonts w:ascii="Arial Narrow" w:hAnsi="Arial Narrow"/>
        <w:b/>
        <w:sz w:val="22"/>
      </w:rPr>
      <w:tab/>
    </w:r>
    <w:r w:rsidRPr="00980974">
      <w:rPr>
        <w:rFonts w:ascii="Arial Narrow" w:hAnsi="Arial Narrow"/>
        <w:b/>
        <w:sz w:val="22"/>
      </w:rPr>
      <w:tab/>
    </w:r>
  </w:p>
  <w:p w:rsidR="00793060" w:rsidRPr="00F11227" w:rsidRDefault="00793060" w:rsidP="00793060">
    <w:pPr>
      <w:ind w:left="1416" w:firstLine="708"/>
      <w:rPr>
        <w:rFonts w:ascii="Calibri" w:hAnsi="Calibri"/>
        <w:b/>
        <w:sz w:val="22"/>
      </w:rPr>
    </w:pPr>
    <w:r w:rsidRPr="00F11227">
      <w:rPr>
        <w:rFonts w:ascii="Calibri" w:hAnsi="Calibri"/>
        <w:b/>
        <w:sz w:val="22"/>
      </w:rPr>
      <w:t>KONFEDERÁCIA ODBOROVÝCH ZV</w:t>
    </w:r>
    <w:r w:rsidRPr="00F11227">
      <w:rPr>
        <w:rFonts w:ascii="Calibri" w:hAnsi="Calibri"/>
        <w:b/>
        <w:sz w:val="24"/>
      </w:rPr>
      <w:t>Ä</w:t>
    </w:r>
    <w:r w:rsidRPr="00F11227">
      <w:rPr>
        <w:rFonts w:ascii="Calibri" w:hAnsi="Calibri"/>
        <w:b/>
        <w:sz w:val="22"/>
      </w:rPr>
      <w:t>ZOV SLOVENSKEJ REPUBLIKY</w:t>
    </w:r>
  </w:p>
  <w:p w:rsidR="00793060" w:rsidRPr="00F11227" w:rsidRDefault="00793060" w:rsidP="00793060">
    <w:pPr>
      <w:jc w:val="center"/>
      <w:rPr>
        <w:rFonts w:ascii="Calibri" w:hAnsi="Calibri"/>
      </w:rPr>
    </w:pPr>
    <w:r w:rsidRPr="00F11227">
      <w:rPr>
        <w:rFonts w:ascii="Calibri" w:hAnsi="Calibri"/>
      </w:rPr>
      <w:t>CONFEDERATION OF TRADE UNIONS OF SLOVAK REPUBLIC</w:t>
    </w:r>
  </w:p>
  <w:p w:rsidR="00793060" w:rsidRPr="00F11227" w:rsidRDefault="00793060" w:rsidP="00793060">
    <w:pPr>
      <w:jc w:val="center"/>
      <w:rPr>
        <w:rFonts w:ascii="Calibri" w:hAnsi="Calibri"/>
        <w:sz w:val="18"/>
      </w:rPr>
    </w:pPr>
    <w:r w:rsidRPr="00F11227">
      <w:rPr>
        <w:rFonts w:ascii="Calibri" w:hAnsi="Calibri"/>
        <w:sz w:val="18"/>
      </w:rPr>
      <w:t>Odborárske nám. č. 3, 815 70  Bratislava</w:t>
    </w:r>
  </w:p>
  <w:p w:rsidR="00793060" w:rsidRPr="00F11227" w:rsidRDefault="00793060" w:rsidP="00793060">
    <w:pPr>
      <w:pStyle w:val="Hlavika"/>
      <w:rPr>
        <w:rFonts w:ascii="Calibri" w:hAnsi="Calibri"/>
      </w:rPr>
    </w:pPr>
  </w:p>
  <w:p w:rsidR="00980974" w:rsidRPr="00F11227" w:rsidRDefault="00980974">
    <w:pPr>
      <w:pStyle w:val="Hlavika"/>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F2E92"/>
    <w:multiLevelType w:val="hybridMultilevel"/>
    <w:tmpl w:val="65946CB6"/>
    <w:lvl w:ilvl="0" w:tplc="B7220B1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88792A"/>
    <w:multiLevelType w:val="hybridMultilevel"/>
    <w:tmpl w:val="279849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59334E4"/>
    <w:multiLevelType w:val="hybridMultilevel"/>
    <w:tmpl w:val="CAB880C0"/>
    <w:lvl w:ilvl="0" w:tplc="2062CD88">
      <w:numFmt w:val="bullet"/>
      <w:lvlText w:val="•"/>
      <w:lvlJc w:val="left"/>
      <w:pPr>
        <w:ind w:left="1065" w:hanging="705"/>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27355242"/>
    <w:multiLevelType w:val="hybridMultilevel"/>
    <w:tmpl w:val="FB101C2A"/>
    <w:lvl w:ilvl="0" w:tplc="184464BC">
      <w:numFmt w:val="bullet"/>
      <w:lvlText w:val="•"/>
      <w:lvlJc w:val="left"/>
      <w:pPr>
        <w:ind w:left="1065" w:hanging="705"/>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CBC6348"/>
    <w:multiLevelType w:val="hybridMultilevel"/>
    <w:tmpl w:val="2B0CDC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9070B4B"/>
    <w:multiLevelType w:val="hybridMultilevel"/>
    <w:tmpl w:val="E5988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13C6293"/>
    <w:multiLevelType w:val="hybridMultilevel"/>
    <w:tmpl w:val="F508CD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2E03D8C"/>
    <w:multiLevelType w:val="hybridMultilevel"/>
    <w:tmpl w:val="B520322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EC"/>
    <w:rsid w:val="00030055"/>
    <w:rsid w:val="00071B2F"/>
    <w:rsid w:val="00081A17"/>
    <w:rsid w:val="00087B81"/>
    <w:rsid w:val="0009292E"/>
    <w:rsid w:val="000A75EB"/>
    <w:rsid w:val="000B67EB"/>
    <w:rsid w:val="000C5381"/>
    <w:rsid w:val="000E001F"/>
    <w:rsid w:val="000F4AA1"/>
    <w:rsid w:val="001376BF"/>
    <w:rsid w:val="00142859"/>
    <w:rsid w:val="001806F1"/>
    <w:rsid w:val="001832C6"/>
    <w:rsid w:val="001C0FDF"/>
    <w:rsid w:val="001F68A7"/>
    <w:rsid w:val="002329CB"/>
    <w:rsid w:val="00240F26"/>
    <w:rsid w:val="00301DBE"/>
    <w:rsid w:val="003212E5"/>
    <w:rsid w:val="00332174"/>
    <w:rsid w:val="00352F78"/>
    <w:rsid w:val="003739EC"/>
    <w:rsid w:val="00373D0D"/>
    <w:rsid w:val="003C3471"/>
    <w:rsid w:val="004327CA"/>
    <w:rsid w:val="004F4BDC"/>
    <w:rsid w:val="00546134"/>
    <w:rsid w:val="005C3B9B"/>
    <w:rsid w:val="005E216C"/>
    <w:rsid w:val="005E4EC1"/>
    <w:rsid w:val="0061553A"/>
    <w:rsid w:val="00615FF0"/>
    <w:rsid w:val="00635C78"/>
    <w:rsid w:val="0065064F"/>
    <w:rsid w:val="006715A4"/>
    <w:rsid w:val="0069550C"/>
    <w:rsid w:val="006F3333"/>
    <w:rsid w:val="00712735"/>
    <w:rsid w:val="007461E4"/>
    <w:rsid w:val="00793060"/>
    <w:rsid w:val="007B1F1D"/>
    <w:rsid w:val="007B529F"/>
    <w:rsid w:val="00804FC6"/>
    <w:rsid w:val="00812BA8"/>
    <w:rsid w:val="00813B17"/>
    <w:rsid w:val="00822A77"/>
    <w:rsid w:val="0082684E"/>
    <w:rsid w:val="00875E1F"/>
    <w:rsid w:val="008C072E"/>
    <w:rsid w:val="009037ED"/>
    <w:rsid w:val="00935C36"/>
    <w:rsid w:val="00936E82"/>
    <w:rsid w:val="00951A91"/>
    <w:rsid w:val="00973892"/>
    <w:rsid w:val="00980974"/>
    <w:rsid w:val="009A0B62"/>
    <w:rsid w:val="009E377B"/>
    <w:rsid w:val="009E4EC5"/>
    <w:rsid w:val="009E61D6"/>
    <w:rsid w:val="009F6B5E"/>
    <w:rsid w:val="00A7284C"/>
    <w:rsid w:val="00A86EB4"/>
    <w:rsid w:val="00AA02A3"/>
    <w:rsid w:val="00AB3AE1"/>
    <w:rsid w:val="00AC6CAE"/>
    <w:rsid w:val="00AE1417"/>
    <w:rsid w:val="00AF4C84"/>
    <w:rsid w:val="00B101F2"/>
    <w:rsid w:val="00B87D40"/>
    <w:rsid w:val="00BA0520"/>
    <w:rsid w:val="00BB4EFE"/>
    <w:rsid w:val="00BE05EB"/>
    <w:rsid w:val="00C02C64"/>
    <w:rsid w:val="00C15CC2"/>
    <w:rsid w:val="00C45A37"/>
    <w:rsid w:val="00C72729"/>
    <w:rsid w:val="00CA6B4B"/>
    <w:rsid w:val="00CC0750"/>
    <w:rsid w:val="00CF581B"/>
    <w:rsid w:val="00D12EBF"/>
    <w:rsid w:val="00D20932"/>
    <w:rsid w:val="00D236E5"/>
    <w:rsid w:val="00D54269"/>
    <w:rsid w:val="00D56E43"/>
    <w:rsid w:val="00D73D44"/>
    <w:rsid w:val="00D73EBA"/>
    <w:rsid w:val="00DA02A0"/>
    <w:rsid w:val="00DB0654"/>
    <w:rsid w:val="00DB2DBE"/>
    <w:rsid w:val="00DE3210"/>
    <w:rsid w:val="00E87AF6"/>
    <w:rsid w:val="00F11227"/>
    <w:rsid w:val="00F57CCE"/>
    <w:rsid w:val="00F77D53"/>
    <w:rsid w:val="00F87141"/>
    <w:rsid w:val="00FD15E8"/>
    <w:rsid w:val="00FF34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F47810-0A23-4F48-9682-A366D515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semiHidden/>
    <w:pPr>
      <w:tabs>
        <w:tab w:val="center" w:pos="4536"/>
        <w:tab w:val="right" w:pos="9072"/>
      </w:tabs>
    </w:pPr>
  </w:style>
  <w:style w:type="paragraph" w:styleId="Pta">
    <w:name w:val="footer"/>
    <w:basedOn w:val="Normlny"/>
    <w:semiHidden/>
    <w:pPr>
      <w:tabs>
        <w:tab w:val="center" w:pos="4536"/>
        <w:tab w:val="right" w:pos="9072"/>
      </w:tabs>
    </w:pPr>
  </w:style>
  <w:style w:type="table" w:styleId="Mriekatabuky">
    <w:name w:val="Table Grid"/>
    <w:basedOn w:val="Normlnatabuka"/>
    <w:uiPriority w:val="39"/>
    <w:rsid w:val="00980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2zvraznenie5">
    <w:name w:val="Grid Table 2 Accent 5"/>
    <w:basedOn w:val="Normlnatabuka"/>
    <w:uiPriority w:val="47"/>
    <w:rsid w:val="0098097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3zvraznenie5">
    <w:name w:val="Grid Table 3 Accent 5"/>
    <w:basedOn w:val="Normlnatabuka"/>
    <w:uiPriority w:val="48"/>
    <w:rsid w:val="00D56E4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customStyle="1" w:styleId="Ctitle">
    <w:name w:val="Ctitle"/>
    <w:basedOn w:val="Normlny"/>
    <w:uiPriority w:val="99"/>
    <w:rsid w:val="00DA02A0"/>
    <w:pPr>
      <w:jc w:val="both"/>
    </w:pPr>
    <w:rPr>
      <w:rFonts w:ascii="Tahoma" w:eastAsiaTheme="minorHAnsi" w:hAnsi="Tahoma" w:cs="Tahoma"/>
      <w:b/>
      <w:bCs/>
      <w:sz w:val="24"/>
      <w:szCs w:val="24"/>
    </w:rPr>
  </w:style>
  <w:style w:type="paragraph" w:styleId="Textbubliny">
    <w:name w:val="Balloon Text"/>
    <w:basedOn w:val="Normlny"/>
    <w:link w:val="TextbublinyChar"/>
    <w:uiPriority w:val="99"/>
    <w:semiHidden/>
    <w:unhideWhenUsed/>
    <w:rsid w:val="009A0B62"/>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0B62"/>
    <w:rPr>
      <w:rFonts w:ascii="Segoe UI" w:hAnsi="Segoe UI" w:cs="Segoe UI"/>
      <w:sz w:val="18"/>
      <w:szCs w:val="18"/>
    </w:rPr>
  </w:style>
  <w:style w:type="table" w:styleId="Tabukasmriekou1svetlzvraznenie1">
    <w:name w:val="Grid Table 1 Light Accent 1"/>
    <w:basedOn w:val="Normlnatabuka"/>
    <w:uiPriority w:val="46"/>
    <w:rsid w:val="0079306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
    <w:name w:val="Grid Table 1 Light"/>
    <w:basedOn w:val="Normlnatabuka"/>
    <w:uiPriority w:val="46"/>
    <w:rsid w:val="007930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textovprepojenie">
    <w:name w:val="Hyperlink"/>
    <w:basedOn w:val="Predvolenpsmoodseku"/>
    <w:uiPriority w:val="99"/>
    <w:unhideWhenUsed/>
    <w:rsid w:val="00793060"/>
    <w:rPr>
      <w:color w:val="0563C1" w:themeColor="hyperlink"/>
      <w:u w:val="single"/>
    </w:rPr>
  </w:style>
  <w:style w:type="table" w:styleId="Mriekatabukysvetl">
    <w:name w:val="Grid Table Light"/>
    <w:basedOn w:val="Normlnatabuka"/>
    <w:uiPriority w:val="40"/>
    <w:rsid w:val="007930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ekzoznamu">
    <w:name w:val="List Paragraph"/>
    <w:basedOn w:val="Normlny"/>
    <w:uiPriority w:val="34"/>
    <w:qFormat/>
    <w:rsid w:val="007461E4"/>
    <w:pPr>
      <w:ind w:left="720"/>
      <w:contextualSpacing/>
    </w:pPr>
  </w:style>
  <w:style w:type="paragraph" w:styleId="Normlnywebov">
    <w:name w:val="Normal (Web)"/>
    <w:basedOn w:val="Normlny"/>
    <w:uiPriority w:val="99"/>
    <w:semiHidden/>
    <w:unhideWhenUsed/>
    <w:rsid w:val="00FF346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41146">
      <w:bodyDiv w:val="1"/>
      <w:marLeft w:val="0"/>
      <w:marRight w:val="0"/>
      <w:marTop w:val="0"/>
      <w:marBottom w:val="0"/>
      <w:divBdr>
        <w:top w:val="none" w:sz="0" w:space="0" w:color="auto"/>
        <w:left w:val="none" w:sz="0" w:space="0" w:color="auto"/>
        <w:bottom w:val="none" w:sz="0" w:space="0" w:color="auto"/>
        <w:right w:val="none" w:sz="0" w:space="0" w:color="auto"/>
      </w:divBdr>
    </w:div>
    <w:div w:id="1104813329">
      <w:bodyDiv w:val="1"/>
      <w:marLeft w:val="0"/>
      <w:marRight w:val="0"/>
      <w:marTop w:val="0"/>
      <w:marBottom w:val="0"/>
      <w:divBdr>
        <w:top w:val="none" w:sz="0" w:space="0" w:color="auto"/>
        <w:left w:val="none" w:sz="0" w:space="0" w:color="auto"/>
        <w:bottom w:val="none" w:sz="0" w:space="0" w:color="auto"/>
        <w:right w:val="none" w:sz="0" w:space="0" w:color="auto"/>
      </w:divBdr>
    </w:div>
    <w:div w:id="1433630334">
      <w:bodyDiv w:val="1"/>
      <w:marLeft w:val="0"/>
      <w:marRight w:val="0"/>
      <w:marTop w:val="0"/>
      <w:marBottom w:val="0"/>
      <w:divBdr>
        <w:top w:val="none" w:sz="0" w:space="0" w:color="auto"/>
        <w:left w:val="none" w:sz="0" w:space="0" w:color="auto"/>
        <w:bottom w:val="none" w:sz="0" w:space="0" w:color="auto"/>
        <w:right w:val="none" w:sz="0" w:space="0" w:color="auto"/>
      </w:divBdr>
    </w:div>
    <w:div w:id="158861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1020</Words>
  <Characters>5817</Characters>
  <Application>Microsoft Office Word</Application>
  <DocSecurity>0</DocSecurity>
  <Lines>48</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lpstr> </vt:lpstr>
    </vt:vector>
  </TitlesOfParts>
  <Company>KOZ</Company>
  <LinksUpToDate>false</LinksUpToDate>
  <CharactersWithSpaces>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KOZ Slovenskej Republiky</dc:creator>
  <cp:keywords/>
  <dc:description/>
  <cp:lastModifiedBy>Hajnoš Bc. Miroslav</cp:lastModifiedBy>
  <cp:revision>17</cp:revision>
  <cp:lastPrinted>2018-10-01T09:42:00Z</cp:lastPrinted>
  <dcterms:created xsi:type="dcterms:W3CDTF">2015-09-18T07:16:00Z</dcterms:created>
  <dcterms:modified xsi:type="dcterms:W3CDTF">2018-11-19T14:46:00Z</dcterms:modified>
</cp:coreProperties>
</file>